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CHAPTER 15 USE OF ARTICLES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Rules for Using Articles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Indefinite Articles: "A" and "An"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Use "a" before singular nouns that begin with a consonant sound.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Example: a dog, a car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Use "an" before singular nouns that begin with a vowel sound (a, e, i, o, u).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Example: an apple, an hour (silent 'h')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2. Definite Article: "The"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Use "the" to refer to something specific or already mentioned.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Example: The sun is shining.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Use "the" before unique nouns.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Example: The Taj Mahal, the moon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1. Fill in the blanks with the correct article (a, an, the):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1. I saw ___ elephant in the zoo.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Answer: an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2. He bought ___ apple from the market.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Answer: an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3. She is reading ___ interesting book.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Answer: an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4. There is ___ cat on the roof.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Answer: 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5. ___ moon shines brightly in the night sky.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Answer: The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2. Correct the sentences by using the right article: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1. She has an dog.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Answer: She has a dog.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2. I saw a owl in the tree.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Answer: I saw an owl in the tree.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3. He is eating a orange.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Answer: He is eating an orange.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4. They live in a USA.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Answer: They live in the USA.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5. The sun is a star.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Answer: Correct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